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3B" w:rsidRPr="00240178" w:rsidRDefault="006F313B" w:rsidP="006F313B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lgerian" w:eastAsia="Times New Roman" w:hAnsi="Algerian" w:cs="Times New Roman"/>
          <w:b/>
          <w:i/>
          <w:color w:val="000000"/>
          <w:sz w:val="36"/>
          <w:szCs w:val="36"/>
          <w:u w:val="single"/>
          <w:lang w:eastAsia="it-IT"/>
        </w:rPr>
      </w:pPr>
      <w:r w:rsidRPr="00240178">
        <w:rPr>
          <w:rFonts w:ascii="Algerian" w:eastAsia="Times New Roman" w:hAnsi="Algerian" w:cs="Times New Roman"/>
          <w:b/>
          <w:i/>
          <w:color w:val="000000"/>
          <w:sz w:val="36"/>
          <w:szCs w:val="36"/>
          <w:u w:val="single"/>
          <w:lang w:eastAsia="it-IT"/>
        </w:rPr>
        <w:t>SETTORE TAEKWONDO</w:t>
      </w:r>
    </w:p>
    <w:p w:rsidR="006F313B" w:rsidRPr="00926FF5" w:rsidRDefault="006F313B" w:rsidP="006F313B">
      <w:pPr>
        <w:shd w:val="clear" w:color="auto" w:fill="FFFFFF"/>
        <w:spacing w:before="225" w:after="225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xxxxxxxxxxxxxxxxxxxxxxxxxxxxxxxxxxxxxxxxxxxxxxxxxxxxxxxxxxxxxxxxxxxxxxxxxxxxxxxxx</w:t>
      </w:r>
    </w:p>
    <w:p w:rsidR="006F313B" w:rsidRPr="00066745" w:rsidRDefault="006F313B" w:rsidP="006F313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066745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bdr w:val="none" w:sz="0" w:space="0" w:color="auto" w:frame="1"/>
          <w:lang w:eastAsia="it-IT"/>
        </w:rPr>
        <w:t>Art.1</w:t>
      </w:r>
      <w:proofErr w:type="gramStart"/>
      <w:r w:rsidRPr="00066745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bdr w:val="none" w:sz="0" w:space="0" w:color="auto" w:frame="1"/>
          <w:lang w:eastAsia="it-IT"/>
        </w:rPr>
        <w:t>A.</w:t>
      </w:r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.</w:t>
      </w:r>
      <w:proofErr w:type="gramEnd"/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Gli esami di graduazione, si tengono solitamente 2 volte l’anno in genere durante l’ultima settimana prima delle feste di Natale e della chiusura dell’anno sportivo. È facoltà del Maestro o Istruttore, secondo le esigenze dell’Associazione, aumentare o diminuire il numero delle sessioni e/o modificarne la data senza alcun preavviso. Le date degli esami contestualmente ai nomi dei candidati vengono comunicati dai 10 ai 15 giorni precedenti a insindacabile giudizio del Maestro mediante affissione della lista in bacheca e tramite sito web. I candidati inseriti nella lista sono liberi di iscriversi o meno all’esame. Solo se promossi sono tenuti a pagare la quota d’esame. I candidati che per qualsiasi motivo non potranno partecipare agli esami nel giorno stabilito non potranno chiederne lo spostamento ad altra data e saranno rinviati alla successiva sessione, fermo restando il rispetto di tutti i presupposti per l’ammissione sopra specificati. Non è consentito ai soci o ai genitori degli stessi richiedere l’inserimento nell’elenco degli esaminandi. In caso di mancato superamento dell’esame, l’atleta potrà ripetere lo stesso nella seduta successiva.,</w:t>
      </w:r>
    </w:p>
    <w:p w:rsidR="006F313B" w:rsidRPr="00066745" w:rsidRDefault="006F313B" w:rsidP="006F313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:rsidR="006F313B" w:rsidRPr="00066745" w:rsidRDefault="006F313B" w:rsidP="006F313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066745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bdr w:val="none" w:sz="0" w:space="0" w:color="auto" w:frame="1"/>
          <w:lang w:eastAsia="it-IT"/>
        </w:rPr>
        <w:t>Art.2A.</w:t>
      </w:r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I candidati all’esame, di cintura nera, oltre a dover rispettare i tempi previsti e richiedere il benestare del Maestro, devono effettuare un preesame in palestra ad ogni sessione fino al sostenimento dell’esame di cintura nera. Il preesame sarà gratuito.</w:t>
      </w:r>
    </w:p>
    <w:p w:rsidR="006F313B" w:rsidRPr="00066745" w:rsidRDefault="006F313B" w:rsidP="006F313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:rsidR="006F313B" w:rsidRPr="00066745" w:rsidRDefault="006F313B" w:rsidP="006F313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066745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bdr w:val="none" w:sz="0" w:space="0" w:color="auto" w:frame="1"/>
          <w:lang w:eastAsia="it-IT"/>
        </w:rPr>
        <w:t>Art.3A. </w:t>
      </w:r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Ad ogni esame verrà premiato il migliore atleta stabilito sulla media dei voti attribuiti dalla commissione.</w:t>
      </w:r>
    </w:p>
    <w:p w:rsidR="006F313B" w:rsidRPr="00066745" w:rsidRDefault="006F313B" w:rsidP="006F313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:rsidR="006F313B" w:rsidRPr="00066745" w:rsidRDefault="006F313B" w:rsidP="006F313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066745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bdr w:val="none" w:sz="0" w:space="0" w:color="auto" w:frame="1"/>
          <w:lang w:eastAsia="it-IT"/>
        </w:rPr>
        <w:t>Art.4A.</w:t>
      </w:r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 Se un atleta, non ancora cintura nera, interrompe gli allenamenti per almeno 1 anno, lo stesso dovrà risostenere gli esami di riconferma fino al proprio grado di appartenenza. Per le cinture nere il ritorno dopo tale periodo di assenza comporterà il sostenimento, dopo 3 mesi, del preesame relativo al proprio </w:t>
      </w:r>
      <w:proofErr w:type="spellStart"/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dan</w:t>
      </w:r>
      <w:proofErr w:type="spellEnd"/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oltre alla perdita dell’anzianità (come previsto da statuto federale).</w:t>
      </w:r>
    </w:p>
    <w:p w:rsidR="006F313B" w:rsidRPr="00066745" w:rsidRDefault="006F313B" w:rsidP="006F313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:rsidR="006F313B" w:rsidRPr="00066745" w:rsidRDefault="006F313B" w:rsidP="006F313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066745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bdr w:val="none" w:sz="0" w:space="0" w:color="auto" w:frame="1"/>
          <w:lang w:eastAsia="it-IT"/>
        </w:rPr>
        <w:t>Art.5A.</w:t>
      </w:r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 Tutti i soci Agonisti devono possedere le proprie attrezzature consistenti in: corpetto, caschetto, </w:t>
      </w:r>
      <w:proofErr w:type="spellStart"/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paratibia</w:t>
      </w:r>
      <w:proofErr w:type="spellEnd"/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, </w:t>
      </w:r>
      <w:proofErr w:type="spellStart"/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parapiedi</w:t>
      </w:r>
      <w:proofErr w:type="spellEnd"/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, </w:t>
      </w:r>
      <w:proofErr w:type="spellStart"/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parabraccia</w:t>
      </w:r>
      <w:proofErr w:type="spellEnd"/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, guantini, paradenti. Il kit totale delle protezioni va completato entro il raggiungimento della cintura verde e comunque entro i primi 2 anni dall’iscrizione in palestra. Detti accessori devono essere </w:t>
      </w:r>
      <w:r w:rsidRPr="00066745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bdr w:val="none" w:sz="0" w:space="0" w:color="auto" w:frame="1"/>
          <w:lang w:eastAsia="it-IT"/>
        </w:rPr>
        <w:t>SEMPRE</w:t>
      </w:r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portati in palestra.</w:t>
      </w:r>
    </w:p>
    <w:p w:rsidR="006F313B" w:rsidRPr="00066745" w:rsidRDefault="006F313B" w:rsidP="006F313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:rsidR="006F313B" w:rsidRPr="00066745" w:rsidRDefault="006F313B" w:rsidP="006F313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:rsidR="006F313B" w:rsidRPr="00066745" w:rsidRDefault="006F313B" w:rsidP="006F313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066745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bdr w:val="none" w:sz="0" w:space="0" w:color="auto" w:frame="1"/>
          <w:lang w:eastAsia="it-IT"/>
        </w:rPr>
        <w:t>Art.6A.</w:t>
      </w:r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 Ogni anno sportivo verranno premiati i migliori atleti sulla base dei risultati ottenuti e delle competizioni a cui si è preso parte. I punteggi verranno calcolati in base al seguente schema: </w:t>
      </w:r>
    </w:p>
    <w:tbl>
      <w:tblPr>
        <w:tblW w:w="8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6"/>
        <w:gridCol w:w="2103"/>
      </w:tblGrid>
      <w:tr w:rsidR="006F313B" w:rsidRPr="00066745" w:rsidTr="00AE2669">
        <w:trPr>
          <w:trHeight w:val="256"/>
        </w:trPr>
        <w:tc>
          <w:tcPr>
            <w:tcW w:w="6506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partecipazione alle lezioni con </w:t>
            </w:r>
            <w:proofErr w:type="spellStart"/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max</w:t>
            </w:r>
            <w:proofErr w:type="spellEnd"/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 assenze mensili</w:t>
            </w:r>
          </w:p>
        </w:tc>
        <w:tc>
          <w:tcPr>
            <w:tcW w:w="2103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punti 1 (mensili)</w:t>
            </w:r>
          </w:p>
        </w:tc>
      </w:tr>
      <w:tr w:rsidR="006F313B" w:rsidRPr="00066745" w:rsidTr="00AE2669">
        <w:trPr>
          <w:trHeight w:val="241"/>
        </w:trPr>
        <w:tc>
          <w:tcPr>
            <w:tcW w:w="6506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partecipazione a amichevoli, eventi o gare </w:t>
            </w:r>
          </w:p>
        </w:tc>
        <w:tc>
          <w:tcPr>
            <w:tcW w:w="2103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punti 2</w:t>
            </w:r>
          </w:p>
        </w:tc>
      </w:tr>
      <w:tr w:rsidR="006F313B" w:rsidRPr="00066745" w:rsidTr="00AE2669">
        <w:trPr>
          <w:trHeight w:val="498"/>
        </w:trPr>
        <w:tc>
          <w:tcPr>
            <w:tcW w:w="6506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partecipazione a amichevoli, eventi o gare in ambito nazionale/internazionale</w:t>
            </w:r>
          </w:p>
        </w:tc>
        <w:tc>
          <w:tcPr>
            <w:tcW w:w="2103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punti 3</w:t>
            </w:r>
          </w:p>
        </w:tc>
      </w:tr>
      <w:tr w:rsidR="006F313B" w:rsidRPr="00066745" w:rsidTr="00AE2669">
        <w:trPr>
          <w:trHeight w:val="241"/>
        </w:trPr>
        <w:tc>
          <w:tcPr>
            <w:tcW w:w="6506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piazzamento in gare in ambito regionale</w:t>
            </w:r>
          </w:p>
        </w:tc>
        <w:tc>
          <w:tcPr>
            <w:tcW w:w="2103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punti 2</w:t>
            </w:r>
          </w:p>
        </w:tc>
      </w:tr>
      <w:tr w:rsidR="006F313B" w:rsidRPr="00066745" w:rsidTr="00AE2669">
        <w:trPr>
          <w:trHeight w:val="256"/>
        </w:trPr>
        <w:tc>
          <w:tcPr>
            <w:tcW w:w="6506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piazzamento in gare fuori regione</w:t>
            </w:r>
          </w:p>
        </w:tc>
        <w:tc>
          <w:tcPr>
            <w:tcW w:w="2103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punti 3</w:t>
            </w:r>
          </w:p>
        </w:tc>
      </w:tr>
      <w:tr w:rsidR="006F313B" w:rsidRPr="00066745" w:rsidTr="00AE2669">
        <w:trPr>
          <w:trHeight w:val="241"/>
        </w:trPr>
        <w:tc>
          <w:tcPr>
            <w:tcW w:w="6506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piazzamento in gare in ambito nazionale/internazionale</w:t>
            </w:r>
          </w:p>
        </w:tc>
        <w:tc>
          <w:tcPr>
            <w:tcW w:w="2103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punti 6</w:t>
            </w:r>
          </w:p>
        </w:tc>
      </w:tr>
      <w:tr w:rsidR="006F313B" w:rsidRPr="00066745" w:rsidTr="00AE2669">
        <w:trPr>
          <w:trHeight w:val="256"/>
        </w:trPr>
        <w:tc>
          <w:tcPr>
            <w:tcW w:w="6506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Vittoria in gare in ambito regionale</w:t>
            </w:r>
          </w:p>
        </w:tc>
        <w:tc>
          <w:tcPr>
            <w:tcW w:w="2103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punti 4</w:t>
            </w:r>
          </w:p>
        </w:tc>
      </w:tr>
      <w:tr w:rsidR="006F313B" w:rsidRPr="00066745" w:rsidTr="00AE2669">
        <w:trPr>
          <w:trHeight w:val="256"/>
        </w:trPr>
        <w:tc>
          <w:tcPr>
            <w:tcW w:w="6506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Vittoria in gare fuori regione</w:t>
            </w:r>
          </w:p>
        </w:tc>
        <w:tc>
          <w:tcPr>
            <w:tcW w:w="2103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punti 6</w:t>
            </w:r>
          </w:p>
        </w:tc>
      </w:tr>
      <w:tr w:rsidR="006F313B" w:rsidRPr="00066745" w:rsidTr="00AE2669">
        <w:trPr>
          <w:trHeight w:val="241"/>
        </w:trPr>
        <w:tc>
          <w:tcPr>
            <w:tcW w:w="65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Vittoria in gare in ambito nazionale/internazionale</w:t>
            </w:r>
          </w:p>
        </w:tc>
        <w:tc>
          <w:tcPr>
            <w:tcW w:w="21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punti 9</w:t>
            </w:r>
          </w:p>
        </w:tc>
      </w:tr>
      <w:tr w:rsidR="006F313B" w:rsidRPr="00066745" w:rsidTr="00AE2669">
        <w:trPr>
          <w:trHeight w:val="241"/>
        </w:trPr>
        <w:tc>
          <w:tcPr>
            <w:tcW w:w="65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Partecipazione in ambito campionato mondiale</w:t>
            </w:r>
          </w:p>
        </w:tc>
        <w:tc>
          <w:tcPr>
            <w:tcW w:w="21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Punti 15</w:t>
            </w:r>
          </w:p>
        </w:tc>
      </w:tr>
      <w:tr w:rsidR="006F313B" w:rsidRPr="00066745" w:rsidTr="00AE2669">
        <w:trPr>
          <w:trHeight w:val="241"/>
        </w:trPr>
        <w:tc>
          <w:tcPr>
            <w:tcW w:w="65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Piazzamento in ambito campionato mondiale</w:t>
            </w:r>
          </w:p>
        </w:tc>
        <w:tc>
          <w:tcPr>
            <w:tcW w:w="21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Punti 25</w:t>
            </w:r>
          </w:p>
        </w:tc>
      </w:tr>
      <w:tr w:rsidR="006F313B" w:rsidRPr="00066745" w:rsidTr="00AE2669">
        <w:trPr>
          <w:trHeight w:val="241"/>
        </w:trPr>
        <w:tc>
          <w:tcPr>
            <w:tcW w:w="6506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Vittoria in ambito campionato mondiale</w:t>
            </w:r>
          </w:p>
        </w:tc>
        <w:tc>
          <w:tcPr>
            <w:tcW w:w="2103" w:type="dxa"/>
            <w:tcBorders>
              <w:top w:val="outset" w:sz="2" w:space="0" w:color="auto"/>
              <w:left w:val="outset" w:sz="2" w:space="0" w:color="auto"/>
              <w:bottom w:val="single" w:sz="6" w:space="0" w:color="D8D8D8"/>
              <w:right w:val="outset" w:sz="2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</w:tcPr>
          <w:p w:rsidR="006F313B" w:rsidRPr="00066745" w:rsidRDefault="006F313B" w:rsidP="00AE2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667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Punti 50</w:t>
            </w:r>
          </w:p>
        </w:tc>
      </w:tr>
    </w:tbl>
    <w:p w:rsidR="006F313B" w:rsidRPr="00066745" w:rsidRDefault="006F313B" w:rsidP="006F313B">
      <w:pPr>
        <w:shd w:val="clear" w:color="auto" w:fill="FFFFFF"/>
        <w:spacing w:before="225" w:after="225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0667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 premi saranno stabiliti dal Consiglio Direttivo su proposta del Maestro e verranno consegnati nella festa di fine anno. Sarà possibile verificare la classifica nell’apposita sezione del sito. Non prenderanno parte a tale classifica gli atleti che, come già specificato in precedenza, non hanno fornito la propria collaborazione durante gare, manifestazioni e allenamenti.</w:t>
      </w:r>
    </w:p>
    <w:p w:rsidR="00CB4F36" w:rsidRDefault="00CB4F36">
      <w:bookmarkStart w:id="0" w:name="_GoBack"/>
      <w:bookmarkEnd w:id="0"/>
    </w:p>
    <w:sectPr w:rsidR="00CB4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3B"/>
    <w:rsid w:val="006F313B"/>
    <w:rsid w:val="00C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1C4E-6B60-4E1A-BCB7-8CB439DB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lello11271@gmail.com</dc:creator>
  <cp:keywords/>
  <dc:description/>
  <cp:lastModifiedBy>lello11271@gmail.com</cp:lastModifiedBy>
  <cp:revision>1</cp:revision>
  <dcterms:created xsi:type="dcterms:W3CDTF">2017-01-27T08:31:00Z</dcterms:created>
  <dcterms:modified xsi:type="dcterms:W3CDTF">2017-01-27T08:35:00Z</dcterms:modified>
</cp:coreProperties>
</file>